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F9" w:rsidRDefault="0042715E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450850" cy="4381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F9" w:rsidRPr="008A1513" w:rsidRDefault="00F44780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F44780">
        <w:rPr>
          <w:rFonts w:ascii="Calibri" w:hAnsi="Calibri"/>
          <w:b/>
          <w:color w:val="4F81BD"/>
          <w:sz w:val="32"/>
          <w:szCs w:val="32"/>
        </w:rPr>
        <w:t>6</w:t>
      </w:r>
      <w:r w:rsidR="00B978F9" w:rsidRPr="008A1513">
        <w:rPr>
          <w:rFonts w:ascii="Calibri" w:hAnsi="Calibri"/>
          <w:b/>
          <w:color w:val="4F81BD"/>
          <w:sz w:val="32"/>
          <w:szCs w:val="32"/>
          <w:vertAlign w:val="superscript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F44780">
        <w:rPr>
          <w:rFonts w:ascii="Calibri" w:hAnsi="Calibri"/>
        </w:rPr>
        <w:t>6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 </w:t>
      </w:r>
      <w:r w:rsidR="00A22883">
        <w:rPr>
          <w:rFonts w:ascii="Calibri" w:hAnsi="Calibri"/>
        </w:rPr>
        <w:t>24</w:t>
      </w:r>
      <w:r w:rsidRPr="00D853FE">
        <w:rPr>
          <w:rFonts w:ascii="Calibri" w:hAnsi="Calibri"/>
        </w:rPr>
        <w:t xml:space="preserve"> – 2</w:t>
      </w:r>
      <w:r w:rsidR="00A22883">
        <w:rPr>
          <w:rFonts w:ascii="Calibri" w:hAnsi="Calibri"/>
        </w:rPr>
        <w:t>8</w:t>
      </w:r>
      <w:r w:rsidRPr="00D853FE">
        <w:rPr>
          <w:rFonts w:ascii="Calibri" w:hAnsi="Calibri"/>
        </w:rPr>
        <w:t xml:space="preserve"> </w:t>
      </w:r>
      <w:r w:rsidR="00F44780">
        <w:rPr>
          <w:rFonts w:ascii="Calibri" w:hAnsi="Calibri"/>
        </w:rPr>
        <w:t>April</w:t>
      </w:r>
      <w:r w:rsidRPr="00D853FE">
        <w:rPr>
          <w:rFonts w:ascii="Calibri" w:hAnsi="Calibri"/>
        </w:rPr>
        <w:t xml:space="preserve"> 201</w:t>
      </w:r>
      <w:r w:rsidR="00F44780">
        <w:rPr>
          <w:rFonts w:ascii="Calibri" w:hAnsi="Calibri"/>
        </w:rPr>
        <w:t>7</w:t>
      </w:r>
      <w:r w:rsidRPr="00D853FE">
        <w:rPr>
          <w:rFonts w:ascii="Calibri" w:hAnsi="Calibri"/>
        </w:rPr>
        <w:t xml:space="preserve">, at </w:t>
      </w:r>
      <w:r w:rsidR="00A22883">
        <w:rPr>
          <w:rFonts w:ascii="Calibri" w:hAnsi="Calibri"/>
          <w:bCs/>
          <w:lang w:val="tr-TR"/>
        </w:rPr>
        <w:t xml:space="preserve">the </w:t>
      </w:r>
      <w:r w:rsidR="00F44780">
        <w:rPr>
          <w:rFonts w:ascii="Calibri" w:eastAsia="Gulim" w:hAnsi="Calibri"/>
          <w:szCs w:val="22"/>
        </w:rPr>
        <w:t xml:space="preserve">Seattle Public Library, </w:t>
      </w:r>
      <w:r w:rsidR="008F1F2F">
        <w:rPr>
          <w:rFonts w:ascii="Calibri" w:eastAsia="Gulim" w:hAnsi="Calibri"/>
          <w:szCs w:val="22"/>
        </w:rPr>
        <w:t xml:space="preserve">Central Library Branch, </w:t>
      </w:r>
      <w:proofErr w:type="gramStart"/>
      <w:r w:rsidR="00F44780">
        <w:rPr>
          <w:rFonts w:ascii="Calibri" w:eastAsia="Gulim" w:hAnsi="Calibri"/>
          <w:szCs w:val="22"/>
        </w:rPr>
        <w:t>Seattle</w:t>
      </w:r>
      <w:proofErr w:type="gramEnd"/>
      <w:r w:rsidR="00F44780">
        <w:rPr>
          <w:rFonts w:ascii="Calibri" w:eastAsia="Gulim" w:hAnsi="Calibri"/>
          <w:szCs w:val="22"/>
        </w:rPr>
        <w:t>, WA, USA</w:t>
      </w:r>
      <w:r w:rsidRPr="00D853FE">
        <w:rPr>
          <w:rFonts w:ascii="Calibri" w:hAnsi="Calibri"/>
        </w:rPr>
        <w:t>.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opening plenary will commence at </w:t>
      </w:r>
      <w:r w:rsidR="00F44780">
        <w:rPr>
          <w:rFonts w:ascii="Calibri" w:hAnsi="Calibri"/>
        </w:rPr>
        <w:t>1</w:t>
      </w:r>
      <w:r w:rsidR="00FA6D5E">
        <w:rPr>
          <w:rFonts w:ascii="Calibri" w:hAnsi="Calibri"/>
        </w:rPr>
        <w:t>0</w:t>
      </w:r>
      <w:r w:rsidR="00F44780">
        <w:rPr>
          <w:rFonts w:ascii="Calibri" w:hAnsi="Calibri"/>
        </w:rPr>
        <w:t>00</w:t>
      </w:r>
      <w:r w:rsidRPr="00D853FE">
        <w:rPr>
          <w:rFonts w:ascii="Calibri" w:hAnsi="Calibri"/>
        </w:rPr>
        <w:t xml:space="preserve"> on Monday </w:t>
      </w:r>
      <w:r w:rsidR="00A22883">
        <w:rPr>
          <w:rFonts w:ascii="Calibri" w:hAnsi="Calibri"/>
        </w:rPr>
        <w:t>24</w:t>
      </w:r>
      <w:r w:rsidRPr="00D853FE">
        <w:rPr>
          <w:rFonts w:ascii="Calibri" w:hAnsi="Calibri"/>
        </w:rPr>
        <w:t xml:space="preserve"> </w:t>
      </w:r>
      <w:r w:rsidR="00F44780">
        <w:rPr>
          <w:rFonts w:ascii="Calibri" w:hAnsi="Calibri"/>
        </w:rPr>
        <w:t>April</w:t>
      </w:r>
      <w:r w:rsidRPr="00D853FE">
        <w:rPr>
          <w:rFonts w:ascii="Calibri" w:hAnsi="Calibri"/>
        </w:rPr>
        <w:t>, and the closing plenary will end at approximately 1</w:t>
      </w:r>
      <w:r w:rsidR="00036337">
        <w:rPr>
          <w:rFonts w:ascii="Calibri" w:hAnsi="Calibri"/>
        </w:rPr>
        <w:t>5</w:t>
      </w:r>
      <w:r w:rsidRPr="00D853FE">
        <w:rPr>
          <w:rFonts w:ascii="Calibri" w:hAnsi="Calibri"/>
        </w:rPr>
        <w:t>00 on Friday 2</w:t>
      </w:r>
      <w:r w:rsidR="00A22883">
        <w:rPr>
          <w:rFonts w:ascii="Calibri" w:hAnsi="Calibri"/>
        </w:rPr>
        <w:t>8</w:t>
      </w:r>
      <w:r w:rsidRPr="00D853FE">
        <w:rPr>
          <w:rFonts w:ascii="Calibri" w:hAnsi="Calibri"/>
        </w:rPr>
        <w:t xml:space="preserve"> </w:t>
      </w:r>
      <w:r w:rsidR="00F44780">
        <w:rPr>
          <w:rFonts w:ascii="Calibri" w:hAnsi="Calibri"/>
        </w:rPr>
        <w:t>April</w:t>
      </w:r>
      <w:r w:rsidRPr="00D853FE">
        <w:rPr>
          <w:rFonts w:ascii="Calibri" w:hAnsi="Calibri"/>
        </w:rPr>
        <w:t>.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Committee Chair, Vice-Chair and Working Group Chairpersons are requested to meet at </w:t>
      </w:r>
      <w:r w:rsidR="00036337">
        <w:rPr>
          <w:rFonts w:ascii="Calibri" w:hAnsi="Calibri"/>
        </w:rPr>
        <w:t>14</w:t>
      </w:r>
      <w:r w:rsidR="00F44780">
        <w:rPr>
          <w:rFonts w:ascii="Calibri" w:hAnsi="Calibri"/>
        </w:rPr>
        <w:t>0</w:t>
      </w:r>
      <w:r w:rsidR="00A22883">
        <w:rPr>
          <w:rFonts w:ascii="Calibri" w:hAnsi="Calibri"/>
        </w:rPr>
        <w:t>0</w:t>
      </w:r>
      <w:r w:rsidRPr="00D853FE">
        <w:rPr>
          <w:rFonts w:ascii="Calibri" w:hAnsi="Calibri"/>
        </w:rPr>
        <w:t xml:space="preserve"> on </w:t>
      </w:r>
      <w:r w:rsidR="00036337">
        <w:rPr>
          <w:rFonts w:ascii="Calibri" w:hAnsi="Calibri"/>
        </w:rPr>
        <w:t>Su</w:t>
      </w:r>
      <w:r w:rsidR="00F44780">
        <w:rPr>
          <w:rFonts w:ascii="Calibri" w:hAnsi="Calibri"/>
        </w:rPr>
        <w:t>n</w:t>
      </w:r>
      <w:r w:rsidRPr="00D853FE">
        <w:rPr>
          <w:rFonts w:ascii="Calibri" w:hAnsi="Calibri"/>
        </w:rPr>
        <w:t xml:space="preserve">day </w:t>
      </w:r>
      <w:r w:rsidR="00A22883">
        <w:rPr>
          <w:rFonts w:ascii="Calibri" w:hAnsi="Calibri"/>
        </w:rPr>
        <w:t>2</w:t>
      </w:r>
      <w:r w:rsidR="00036337">
        <w:rPr>
          <w:rFonts w:ascii="Calibri" w:hAnsi="Calibri"/>
        </w:rPr>
        <w:t>3</w:t>
      </w:r>
      <w:r w:rsidR="00A22883">
        <w:rPr>
          <w:rFonts w:ascii="Calibri" w:hAnsi="Calibri"/>
        </w:rPr>
        <w:t xml:space="preserve"> </w:t>
      </w:r>
      <w:r w:rsidR="00F44780">
        <w:rPr>
          <w:rFonts w:ascii="Calibri" w:hAnsi="Calibri"/>
        </w:rPr>
        <w:t>April</w:t>
      </w:r>
      <w:r w:rsidRPr="00D853FE">
        <w:rPr>
          <w:rFonts w:ascii="Calibri" w:hAnsi="Calibri"/>
        </w:rPr>
        <w:t>.</w:t>
      </w:r>
    </w:p>
    <w:p w:rsidR="00B978F9" w:rsidRPr="008A1513" w:rsidRDefault="00B978F9" w:rsidP="000F23DA">
      <w:pPr>
        <w:spacing w:before="24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:rsidR="00B978F9" w:rsidRPr="00D853FE" w:rsidRDefault="00B978F9" w:rsidP="00C8604F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Introduction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Administration and Safety Briefing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Approval of agenda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Apologies and introductions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Programme for the week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Review of action items from ARM</w:t>
      </w:r>
      <w:r w:rsidR="00F44780">
        <w:rPr>
          <w:rFonts w:ascii="Calibri" w:hAnsi="Calibri"/>
        </w:rPr>
        <w:t>5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Final Report from ARM</w:t>
      </w:r>
      <w:r w:rsidR="00F44780">
        <w:rPr>
          <w:rFonts w:ascii="Calibri" w:hAnsi="Calibri"/>
        </w:rPr>
        <w:t>5</w:t>
      </w:r>
      <w:r w:rsidRPr="00D853FE">
        <w:rPr>
          <w:rFonts w:ascii="Calibri" w:hAnsi="Calibri"/>
        </w:rPr>
        <w:t xml:space="preserve"> - for reference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:rsidR="00F44780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IALA Standards</w:t>
      </w:r>
    </w:p>
    <w:p w:rsidR="00F44780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ARM Committee related input</w:t>
      </w:r>
    </w:p>
    <w:p w:rsidR="00F44780" w:rsidRPr="00D853FE" w:rsidRDefault="00F44780" w:rsidP="00F44780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other bodies: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IALA Council</w:t>
      </w:r>
      <w:r w:rsidR="00F44780">
        <w:rPr>
          <w:rFonts w:ascii="Calibri" w:hAnsi="Calibri"/>
        </w:rPr>
        <w:t xml:space="preserve"> -</w:t>
      </w:r>
      <w:r w:rsidRPr="00D853FE">
        <w:rPr>
          <w:rFonts w:ascii="Calibri" w:hAnsi="Calibri"/>
        </w:rPr>
        <w:t xml:space="preserve"> 6</w:t>
      </w:r>
      <w:r w:rsidR="00F44780">
        <w:rPr>
          <w:rFonts w:ascii="Calibri" w:hAnsi="Calibri"/>
        </w:rPr>
        <w:t>3</w:t>
      </w:r>
      <w:r w:rsidR="00F44780" w:rsidRPr="00F44780">
        <w:rPr>
          <w:rFonts w:ascii="Calibri" w:hAnsi="Calibri"/>
          <w:vertAlign w:val="superscript"/>
        </w:rPr>
        <w:t>rd</w:t>
      </w:r>
      <w:r w:rsidR="00F44780">
        <w:rPr>
          <w:rFonts w:ascii="Calibri" w:hAnsi="Calibri"/>
        </w:rPr>
        <w:t xml:space="preserve"> </w:t>
      </w:r>
      <w:r w:rsidRPr="00D853FE">
        <w:rPr>
          <w:rFonts w:ascii="Calibri" w:hAnsi="Calibri"/>
        </w:rPr>
        <w:t xml:space="preserve">Session, </w:t>
      </w:r>
      <w:r w:rsidR="00F44780">
        <w:rPr>
          <w:rFonts w:ascii="Calibri" w:hAnsi="Calibri"/>
        </w:rPr>
        <w:t>December</w:t>
      </w:r>
      <w:r w:rsidRPr="00D853FE">
        <w:rPr>
          <w:rFonts w:ascii="Calibri" w:hAnsi="Calibri"/>
        </w:rPr>
        <w:t xml:space="preserve"> 201</w:t>
      </w:r>
      <w:r w:rsidR="00A22883">
        <w:rPr>
          <w:rFonts w:ascii="Calibri" w:hAnsi="Calibri"/>
        </w:rPr>
        <w:t>6</w:t>
      </w:r>
    </w:p>
    <w:p w:rsidR="00D521FC" w:rsidRDefault="00D521FC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Policy Advisory Panel (PAP)</w:t>
      </w:r>
      <w:r w:rsidR="00F44780">
        <w:rPr>
          <w:rFonts w:ascii="Calibri" w:hAnsi="Calibri"/>
        </w:rPr>
        <w:t xml:space="preserve"> – PAP32, October 2016</w:t>
      </w:r>
    </w:p>
    <w:p w:rsidR="00B978F9" w:rsidRPr="00D853FE" w:rsidRDefault="00A22883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IMO 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:rsidR="00B978F9" w:rsidRDefault="00B978F9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e-Navigation shore side </w:t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</w:p>
    <w:p w:rsidR="00960F7F" w:rsidRDefault="00960F7F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>
        <w:rPr>
          <w:rFonts w:ascii="Calibri" w:hAnsi="Calibri"/>
        </w:rPr>
        <w:t>e-Navigation shipborne side</w:t>
      </w:r>
    </w:p>
    <w:p w:rsidR="00172F1E" w:rsidRPr="00D853FE" w:rsidRDefault="00172F1E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>
        <w:rPr>
          <w:rFonts w:ascii="Calibri" w:hAnsi="Calibri"/>
        </w:rPr>
        <w:t>IHO liaison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Presentations (15 minutes)</w:t>
      </w:r>
    </w:p>
    <w:p w:rsidR="00433CF5" w:rsidRPr="00433CF5" w:rsidRDefault="00433CF5" w:rsidP="00433CF5">
      <w:pPr>
        <w:pStyle w:val="ListParagraph"/>
        <w:numPr>
          <w:ilvl w:val="0"/>
          <w:numId w:val="28"/>
        </w:numPr>
        <w:ind w:left="1134" w:hanging="567"/>
        <w:rPr>
          <w:rFonts w:asciiTheme="minorHAnsi" w:hAnsiTheme="minorHAnsi" w:cstheme="minorHAnsi"/>
        </w:rPr>
      </w:pPr>
      <w:r w:rsidRPr="00433CF5">
        <w:rPr>
          <w:rFonts w:asciiTheme="minorHAnsi" w:hAnsiTheme="minorHAnsi" w:cstheme="minorHAnsi"/>
          <w:lang w:val="en-US"/>
        </w:rPr>
        <w:t>Smart Buoy System</w:t>
      </w:r>
      <w:r w:rsidR="00E5639D">
        <w:rPr>
          <w:rFonts w:asciiTheme="minorHAnsi" w:hAnsiTheme="minorHAnsi" w:cstheme="minorHAnsi"/>
          <w:lang w:val="en-US"/>
        </w:rPr>
        <w:t xml:space="preserve">, </w:t>
      </w:r>
      <w:r w:rsidRPr="00433CF5">
        <w:rPr>
          <w:rFonts w:asciiTheme="minorHAnsi" w:hAnsiTheme="minorHAnsi" w:cstheme="minorHAnsi"/>
          <w:lang w:val="en-US"/>
        </w:rPr>
        <w:t>current status and standardization perspectives</w:t>
      </w:r>
      <w:r>
        <w:rPr>
          <w:rFonts w:asciiTheme="minorHAnsi" w:hAnsiTheme="minorHAnsi" w:cstheme="minorHAnsi"/>
          <w:lang w:val="en-US"/>
        </w:rPr>
        <w:t xml:space="preserve">     </w:t>
      </w:r>
      <w:r w:rsidRPr="00433CF5">
        <w:rPr>
          <w:rFonts w:asciiTheme="minorHAnsi" w:hAnsiTheme="minorHAnsi" w:cstheme="minorHAnsi"/>
        </w:rPr>
        <w:t xml:space="preserve">Marek </w:t>
      </w:r>
      <w:proofErr w:type="spellStart"/>
      <w:r w:rsidRPr="00433CF5">
        <w:rPr>
          <w:rFonts w:asciiTheme="minorHAnsi" w:hAnsiTheme="minorHAnsi" w:cstheme="minorHAnsi"/>
        </w:rPr>
        <w:t>Ledóchowski</w:t>
      </w:r>
      <w:proofErr w:type="spellEnd"/>
    </w:p>
    <w:p w:rsidR="007F0C78" w:rsidRDefault="00433CF5" w:rsidP="007F0C78">
      <w:pPr>
        <w:pStyle w:val="Agenda1"/>
        <w:numPr>
          <w:ilvl w:val="0"/>
          <w:numId w:val="27"/>
        </w:numPr>
        <w:ind w:left="1134" w:hanging="567"/>
        <w:rPr>
          <w:rFonts w:ascii="Calibri" w:hAnsi="Calibri"/>
        </w:rPr>
      </w:pPr>
      <w:r>
        <w:rPr>
          <w:rFonts w:ascii="Calibri" w:hAnsi="Calibri"/>
        </w:rPr>
        <w:t>19</w:t>
      </w:r>
      <w:r w:rsidRPr="00433CF5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IALA Conference, Incheon, Republic of Korea</w:t>
      </w:r>
    </w:p>
    <w:p w:rsidR="0023743C" w:rsidRDefault="0023743C" w:rsidP="007F0C78">
      <w:pPr>
        <w:pStyle w:val="Agenda1"/>
        <w:numPr>
          <w:ilvl w:val="0"/>
          <w:numId w:val="27"/>
        </w:numPr>
        <w:ind w:left="1134" w:hanging="567"/>
        <w:rPr>
          <w:rFonts w:ascii="Calibri" w:hAnsi="Calibri"/>
        </w:rPr>
      </w:pPr>
      <w:r>
        <w:rPr>
          <w:rFonts w:ascii="Calibri" w:hAnsi="Calibri"/>
        </w:rPr>
        <w:t xml:space="preserve">Use of Mobile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 xml:space="preserve"> in Korea</w:t>
      </w:r>
    </w:p>
    <w:p w:rsidR="00B16261" w:rsidRDefault="00B16261" w:rsidP="007F0C78">
      <w:pPr>
        <w:pStyle w:val="Agenda1"/>
        <w:numPr>
          <w:ilvl w:val="0"/>
          <w:numId w:val="27"/>
        </w:numPr>
        <w:ind w:left="1134" w:hanging="567"/>
        <w:rPr>
          <w:rFonts w:ascii="Calibri" w:hAnsi="Calibri"/>
        </w:rPr>
      </w:pPr>
      <w:r>
        <w:rPr>
          <w:rFonts w:ascii="Calibri" w:hAnsi="Calibri"/>
        </w:rPr>
        <w:t>Report of trials Simplified Risk Assessment tool in the Pacific</w:t>
      </w:r>
      <w:bookmarkStart w:id="1" w:name="_GoBack"/>
      <w:bookmarkEnd w:id="1"/>
    </w:p>
    <w:p w:rsidR="00B978F9" w:rsidRDefault="00B978F9" w:rsidP="005F22B9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:rsidR="003644F1" w:rsidRDefault="003644F1" w:rsidP="003644F1">
      <w:pPr>
        <w:pStyle w:val="Agenda1"/>
        <w:tabs>
          <w:tab w:val="clear" w:pos="567"/>
        </w:tabs>
        <w:jc w:val="left"/>
        <w:rPr>
          <w:rFonts w:ascii="Calibri" w:hAnsi="Calibri"/>
        </w:rPr>
      </w:pPr>
    </w:p>
    <w:p w:rsidR="003644F1" w:rsidRDefault="003644F1" w:rsidP="003644F1">
      <w:pPr>
        <w:pStyle w:val="Agenda1"/>
        <w:tabs>
          <w:tab w:val="clear" w:pos="567"/>
        </w:tabs>
        <w:jc w:val="left"/>
        <w:rPr>
          <w:rFonts w:ascii="Calibri" w:hAnsi="Calibri"/>
        </w:rPr>
      </w:pPr>
    </w:p>
    <w:p w:rsidR="003644F1" w:rsidRDefault="003644F1" w:rsidP="003644F1">
      <w:pPr>
        <w:pStyle w:val="Agenda1"/>
        <w:tabs>
          <w:tab w:val="clear" w:pos="567"/>
        </w:tabs>
        <w:jc w:val="left"/>
        <w:rPr>
          <w:rFonts w:ascii="Calibri" w:hAnsi="Calibri"/>
        </w:rPr>
      </w:pP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Contribute to standards generated by the Secretariat</w:t>
      </w:r>
      <w:r w:rsidRPr="00B06CD0">
        <w:rPr>
          <w:rFonts w:ascii="Calibri" w:hAnsi="Calibri"/>
        </w:rPr>
        <w:t xml:space="preserve"> (Task 1.1.1)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marking of wrecks as defined by the Nairobi Wreck Convention (Task 1.1.3)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for AtoN authorities on disaster recovery (Task 2.1.1)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for AtoN authorities on the use of Marine Spatial Planning (Task 3.1.1)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use of mobile AtoN (Task 1.1.6)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Consider guidance for authorities on the use of </w:t>
      </w:r>
      <w:proofErr w:type="spellStart"/>
      <w:r>
        <w:rPr>
          <w:rFonts w:ascii="Calibri" w:hAnsi="Calibri"/>
        </w:rPr>
        <w:t>enavigation</w:t>
      </w:r>
      <w:proofErr w:type="spellEnd"/>
      <w:r>
        <w:rPr>
          <w:rFonts w:ascii="Calibri" w:hAnsi="Calibri"/>
        </w:rPr>
        <w:t xml:space="preserve"> services (Task 2.1.3 shared with WG2)</w:t>
      </w: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WG2 - Continu</w:t>
      </w:r>
      <w:r>
        <w:rPr>
          <w:rFonts w:ascii="Calibri" w:hAnsi="Calibri"/>
        </w:rPr>
        <w:t>ous</w:t>
      </w:r>
      <w:r w:rsidRPr="00B06CD0">
        <w:rPr>
          <w:rFonts w:ascii="Calibri" w:hAnsi="Calibri"/>
        </w:rPr>
        <w:t xml:space="preserve"> improvement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Contribute to standards generated by the Secretariat</w:t>
      </w:r>
      <w:r w:rsidRPr="00B06CD0">
        <w:rPr>
          <w:rFonts w:ascii="Calibri" w:hAnsi="Calibri"/>
        </w:rPr>
        <w:t xml:space="preserve"> (Task 2.1.2)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use of pictograms on AtoN (Task 1.1.4)</w:t>
      </w:r>
    </w:p>
    <w:p w:rsidR="00B978F9" w:rsidRPr="002C30C6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on the management of AtoN in environmentally protected areas (Task 2.5.1)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Coordinate a limited review of the IALA NAVGUIDE to incorporate amended recommendations and guidelines and other necessary update via </w:t>
      </w:r>
      <w:r w:rsidRPr="00B06CD0">
        <w:rPr>
          <w:rFonts w:ascii="Calibri" w:hAnsi="Calibri"/>
        </w:rPr>
        <w:t>IALA Wiki (Task 4.2.</w:t>
      </w:r>
      <w:r>
        <w:rPr>
          <w:rFonts w:ascii="Calibri" w:hAnsi="Calibri"/>
        </w:rPr>
        <w:t>2</w:t>
      </w:r>
      <w:r w:rsidRPr="00B06CD0">
        <w:rPr>
          <w:rFonts w:ascii="Calibri" w:hAnsi="Calibri"/>
        </w:rPr>
        <w:t>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Amend IALA Dictionary as appropriate including harmonisation of definition of AtoN (Task 4.2.</w:t>
      </w:r>
      <w:r>
        <w:rPr>
          <w:rFonts w:ascii="Calibri" w:hAnsi="Calibri"/>
        </w:rPr>
        <w:t>5)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Populate S-100 as requested by the ENAV Committee (Task 1.2.1)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Map existing ARM documentation to standards generated by Secretariat (Task 4.2.6)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Rewrite ARM documentation to meet new document structure in conjunction with IALA assistance (Task 4.2.7 shared with WG1)</w:t>
      </w:r>
    </w:p>
    <w:p w:rsidR="00B978F9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WG3 - Risk management</w:t>
      </w:r>
    </w:p>
    <w:p w:rsidR="00B978F9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Oversee development of Risk Management Toolbox (Task 3.4.1)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PAWSA (Task 3.4.2)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SQUART (Task 3.4.3)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use of IWRAP (Task 3.4.4)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Training / workshop / seminar in association with WWA (Task 3.4.5)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IALANET (Task 3.4.6)</w:t>
      </w:r>
    </w:p>
    <w:p w:rsidR="008E1EA5" w:rsidRPr="00DB5AA4" w:rsidRDefault="008E1EA5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Recommendation on Risk Management</w:t>
      </w:r>
    </w:p>
    <w:p w:rsidR="00960F7F" w:rsidRDefault="00960F7F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</w:p>
    <w:p w:rsidR="00B978F9" w:rsidRDefault="00B978F9" w:rsidP="00960F7F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 w:rsidRPr="00D853FE">
        <w:rPr>
          <w:rFonts w:ascii="Calibri" w:hAnsi="Calibri"/>
        </w:rPr>
        <w:t>Current Work Programme (2014 – 2018)</w:t>
      </w:r>
    </w:p>
    <w:p w:rsidR="00960F7F" w:rsidRPr="00D853FE" w:rsidRDefault="00960F7F" w:rsidP="00960F7F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Future Work Programme (2018 -2022)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Output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Working papers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:rsidR="0048299C" w:rsidRDefault="0048299C" w:rsidP="0048299C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Recommendation on Maritime Buoyage System</w:t>
      </w:r>
    </w:p>
    <w:p w:rsidR="0048299C" w:rsidRPr="00D853FE" w:rsidRDefault="0048299C" w:rsidP="0048299C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Prepare the 2018 IALA Questionnaire</w:t>
      </w:r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lastRenderedPageBreak/>
        <w:t xml:space="preserve">Review of session report </w:t>
      </w:r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:rsidR="00B978F9" w:rsidRDefault="00B978F9" w:rsidP="00CF44B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B978F9" w:rsidSect="00FA6D5E">
      <w:headerReference w:type="default" r:id="rId9"/>
      <w:footerReference w:type="default" r:id="rId10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96" w:rsidRDefault="00AD5396" w:rsidP="000F23DA">
      <w:r>
        <w:separator/>
      </w:r>
    </w:p>
  </w:endnote>
  <w:endnote w:type="continuationSeparator" w:id="0">
    <w:p w:rsidR="00AD5396" w:rsidRDefault="00AD5396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 w:rsidP="00B34B52">
    <w:pPr>
      <w:pStyle w:val="Footer"/>
      <w:spacing w:before="120"/>
      <w:rPr>
        <w:rFonts w:ascii="Calibri" w:hAnsi="Calibri"/>
      </w:rPr>
    </w:pPr>
    <w:r w:rsidRPr="00D853FE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F44780">
      <w:rPr>
        <w:rFonts w:ascii="Calibri" w:hAnsi="Calibri"/>
      </w:rPr>
      <w:t>10 April</w:t>
    </w:r>
    <w:r w:rsidRPr="00D853FE">
      <w:rPr>
        <w:rFonts w:ascii="Calibri" w:hAnsi="Calibri"/>
      </w:rPr>
      <w:t xml:space="preserve"> 201</w:t>
    </w:r>
    <w:r w:rsidR="00F44780">
      <w:rPr>
        <w:rFonts w:ascii="Calibri" w:hAnsi="Calibri"/>
      </w:rPr>
      <w:t>7</w:t>
    </w:r>
    <w:r w:rsidRPr="00D853FE">
      <w:rPr>
        <w:rFonts w:ascii="Calibri" w:hAnsi="Calibri"/>
      </w:rPr>
      <w:t>, indicating the relevant Task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96" w:rsidRDefault="00AD5396" w:rsidP="000F23DA">
      <w:r>
        <w:separator/>
      </w:r>
    </w:p>
  </w:footnote>
  <w:footnote w:type="continuationSeparator" w:id="0">
    <w:p w:rsidR="00AD5396" w:rsidRDefault="00AD5396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F44780">
      <w:rPr>
        <w:rFonts w:ascii="Calibri" w:hAnsi="Calibri"/>
      </w:rPr>
      <w:t>6</w:t>
    </w:r>
    <w:r w:rsidRPr="00D853FE">
      <w:rPr>
        <w:rFonts w:ascii="Calibri" w:hAnsi="Calibri"/>
      </w:rPr>
      <w:t>-1.2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758E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0F1964F7"/>
    <w:multiLevelType w:val="hybridMultilevel"/>
    <w:tmpl w:val="586C9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7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1E5A1616"/>
    <w:multiLevelType w:val="multilevel"/>
    <w:tmpl w:val="E9783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AE4412C"/>
    <w:multiLevelType w:val="hybridMultilevel"/>
    <w:tmpl w:val="C728E8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023E7E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35271F"/>
    <w:multiLevelType w:val="hybridMultilevel"/>
    <w:tmpl w:val="F766A2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20"/>
  </w:num>
  <w:num w:numId="8">
    <w:abstractNumId w:val="14"/>
  </w:num>
  <w:num w:numId="9">
    <w:abstractNumId w:val="4"/>
  </w:num>
  <w:num w:numId="10">
    <w:abstractNumId w:val="23"/>
  </w:num>
  <w:num w:numId="11">
    <w:abstractNumId w:val="12"/>
  </w:num>
  <w:num w:numId="12">
    <w:abstractNumId w:val="11"/>
  </w:num>
  <w:num w:numId="13">
    <w:abstractNumId w:val="17"/>
  </w:num>
  <w:num w:numId="14">
    <w:abstractNumId w:val="15"/>
  </w:num>
  <w:num w:numId="15">
    <w:abstractNumId w:val="13"/>
  </w:num>
  <w:num w:numId="16">
    <w:abstractNumId w:val="22"/>
  </w:num>
  <w:num w:numId="17">
    <w:abstractNumId w:val="7"/>
  </w:num>
  <w:num w:numId="18">
    <w:abstractNumId w:val="9"/>
  </w:num>
  <w:num w:numId="19">
    <w:abstractNumId w:val="18"/>
  </w:num>
  <w:num w:numId="20">
    <w:abstractNumId w:val="3"/>
  </w:num>
  <w:num w:numId="21">
    <w:abstractNumId w:val="6"/>
  </w:num>
  <w:num w:numId="22">
    <w:abstractNumId w:val="19"/>
  </w:num>
  <w:num w:numId="23">
    <w:abstractNumId w:val="21"/>
  </w:num>
  <w:num w:numId="24">
    <w:abstractNumId w:val="8"/>
  </w:num>
  <w:num w:numId="25">
    <w:abstractNumId w:val="16"/>
  </w:num>
  <w:num w:numId="26">
    <w:abstractNumId w:val="25"/>
  </w:num>
  <w:num w:numId="27">
    <w:abstractNumId w:val="24"/>
  </w:num>
  <w:num w:numId="28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1D1F"/>
    <w:rsid w:val="0000391C"/>
    <w:rsid w:val="00005381"/>
    <w:rsid w:val="00011F52"/>
    <w:rsid w:val="00012AE0"/>
    <w:rsid w:val="00015954"/>
    <w:rsid w:val="00036337"/>
    <w:rsid w:val="0004700E"/>
    <w:rsid w:val="00060E05"/>
    <w:rsid w:val="00070C13"/>
    <w:rsid w:val="0007562E"/>
    <w:rsid w:val="00082DEF"/>
    <w:rsid w:val="00084F33"/>
    <w:rsid w:val="000A0DFD"/>
    <w:rsid w:val="000A51FE"/>
    <w:rsid w:val="000A599B"/>
    <w:rsid w:val="000B0348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1710"/>
    <w:rsid w:val="001471F7"/>
    <w:rsid w:val="00156C9C"/>
    <w:rsid w:val="00162B0F"/>
    <w:rsid w:val="00164452"/>
    <w:rsid w:val="00171AAE"/>
    <w:rsid w:val="00172F1E"/>
    <w:rsid w:val="00177F4D"/>
    <w:rsid w:val="00187E34"/>
    <w:rsid w:val="00191CC5"/>
    <w:rsid w:val="0019408A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200BFB"/>
    <w:rsid w:val="002125B0"/>
    <w:rsid w:val="00215C9F"/>
    <w:rsid w:val="0022327E"/>
    <w:rsid w:val="00235F8A"/>
    <w:rsid w:val="0023743C"/>
    <w:rsid w:val="00242956"/>
    <w:rsid w:val="00243228"/>
    <w:rsid w:val="00251483"/>
    <w:rsid w:val="00271A83"/>
    <w:rsid w:val="0027535F"/>
    <w:rsid w:val="0028751F"/>
    <w:rsid w:val="002A4487"/>
    <w:rsid w:val="002A7EB4"/>
    <w:rsid w:val="002B31B9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5464"/>
    <w:rsid w:val="00331F07"/>
    <w:rsid w:val="00343E48"/>
    <w:rsid w:val="00356CD0"/>
    <w:rsid w:val="003644F1"/>
    <w:rsid w:val="00366F46"/>
    <w:rsid w:val="00375A53"/>
    <w:rsid w:val="00380DAF"/>
    <w:rsid w:val="0038529C"/>
    <w:rsid w:val="00390EA4"/>
    <w:rsid w:val="003A016A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2715E"/>
    <w:rsid w:val="0043160E"/>
    <w:rsid w:val="00433CF5"/>
    <w:rsid w:val="00443E0D"/>
    <w:rsid w:val="00447E32"/>
    <w:rsid w:val="004511D3"/>
    <w:rsid w:val="004610A9"/>
    <w:rsid w:val="004661AD"/>
    <w:rsid w:val="00470E6A"/>
    <w:rsid w:val="00474372"/>
    <w:rsid w:val="00474C3C"/>
    <w:rsid w:val="0047509F"/>
    <w:rsid w:val="004806CF"/>
    <w:rsid w:val="0048299C"/>
    <w:rsid w:val="004A5CD5"/>
    <w:rsid w:val="004C3A35"/>
    <w:rsid w:val="004D784A"/>
    <w:rsid w:val="004E0CBE"/>
    <w:rsid w:val="004F082F"/>
    <w:rsid w:val="004F1AC8"/>
    <w:rsid w:val="00500FA9"/>
    <w:rsid w:val="0050461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E0F5B"/>
    <w:rsid w:val="005F22B9"/>
    <w:rsid w:val="005F7E20"/>
    <w:rsid w:val="00600ECA"/>
    <w:rsid w:val="00601477"/>
    <w:rsid w:val="006229C0"/>
    <w:rsid w:val="00631E84"/>
    <w:rsid w:val="006327F3"/>
    <w:rsid w:val="00632A7C"/>
    <w:rsid w:val="00633B0F"/>
    <w:rsid w:val="006634A5"/>
    <w:rsid w:val="006652C3"/>
    <w:rsid w:val="00665C10"/>
    <w:rsid w:val="006A58E7"/>
    <w:rsid w:val="006A630C"/>
    <w:rsid w:val="006B5D1C"/>
    <w:rsid w:val="006C3D99"/>
    <w:rsid w:val="006D3789"/>
    <w:rsid w:val="006E0AEE"/>
    <w:rsid w:val="006E63DE"/>
    <w:rsid w:val="006F2A74"/>
    <w:rsid w:val="0070734B"/>
    <w:rsid w:val="007118F5"/>
    <w:rsid w:val="00714A18"/>
    <w:rsid w:val="00721AA1"/>
    <w:rsid w:val="00733C92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F0C78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D1694"/>
    <w:rsid w:val="008E03D8"/>
    <w:rsid w:val="008E1AF2"/>
    <w:rsid w:val="008E1EA5"/>
    <w:rsid w:val="008E4B50"/>
    <w:rsid w:val="008F142E"/>
    <w:rsid w:val="008F1F2F"/>
    <w:rsid w:val="008F297C"/>
    <w:rsid w:val="008F3B5B"/>
    <w:rsid w:val="00911857"/>
    <w:rsid w:val="00913FC0"/>
    <w:rsid w:val="00913FC1"/>
    <w:rsid w:val="009312A4"/>
    <w:rsid w:val="00943E9C"/>
    <w:rsid w:val="00952489"/>
    <w:rsid w:val="00953F4D"/>
    <w:rsid w:val="009554E5"/>
    <w:rsid w:val="00960BB8"/>
    <w:rsid w:val="00960F7F"/>
    <w:rsid w:val="00964F5C"/>
    <w:rsid w:val="00970065"/>
    <w:rsid w:val="009805D6"/>
    <w:rsid w:val="009968EA"/>
    <w:rsid w:val="009A78BA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45008"/>
    <w:rsid w:val="00A543A4"/>
    <w:rsid w:val="00A547F7"/>
    <w:rsid w:val="00A569F1"/>
    <w:rsid w:val="00A635D6"/>
    <w:rsid w:val="00A66E5B"/>
    <w:rsid w:val="00A71887"/>
    <w:rsid w:val="00A84816"/>
    <w:rsid w:val="00A92BFC"/>
    <w:rsid w:val="00A93AED"/>
    <w:rsid w:val="00AA713B"/>
    <w:rsid w:val="00AB3A51"/>
    <w:rsid w:val="00AC5122"/>
    <w:rsid w:val="00AD5396"/>
    <w:rsid w:val="00AE0D5D"/>
    <w:rsid w:val="00AE2142"/>
    <w:rsid w:val="00AE6137"/>
    <w:rsid w:val="00AE7A16"/>
    <w:rsid w:val="00B06CD0"/>
    <w:rsid w:val="00B16261"/>
    <w:rsid w:val="00B16898"/>
    <w:rsid w:val="00B16DA4"/>
    <w:rsid w:val="00B22409"/>
    <w:rsid w:val="00B226F2"/>
    <w:rsid w:val="00B302C9"/>
    <w:rsid w:val="00B34B52"/>
    <w:rsid w:val="00B47576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A623B"/>
    <w:rsid w:val="00BB7387"/>
    <w:rsid w:val="00BC321D"/>
    <w:rsid w:val="00BD206B"/>
    <w:rsid w:val="00BD3CB8"/>
    <w:rsid w:val="00BE6167"/>
    <w:rsid w:val="00BF4DCE"/>
    <w:rsid w:val="00C0730E"/>
    <w:rsid w:val="00C16D96"/>
    <w:rsid w:val="00C31C4D"/>
    <w:rsid w:val="00C41C71"/>
    <w:rsid w:val="00C42031"/>
    <w:rsid w:val="00C66AA9"/>
    <w:rsid w:val="00C74B5C"/>
    <w:rsid w:val="00C84CE2"/>
    <w:rsid w:val="00C8604F"/>
    <w:rsid w:val="00C8756D"/>
    <w:rsid w:val="00CA1915"/>
    <w:rsid w:val="00CB47CE"/>
    <w:rsid w:val="00CC36D6"/>
    <w:rsid w:val="00CF44B7"/>
    <w:rsid w:val="00D010AA"/>
    <w:rsid w:val="00D17A34"/>
    <w:rsid w:val="00D24133"/>
    <w:rsid w:val="00D26628"/>
    <w:rsid w:val="00D32C8F"/>
    <w:rsid w:val="00D44173"/>
    <w:rsid w:val="00D521FC"/>
    <w:rsid w:val="00D76FD7"/>
    <w:rsid w:val="00D814BF"/>
    <w:rsid w:val="00D853FE"/>
    <w:rsid w:val="00D92B45"/>
    <w:rsid w:val="00D949D1"/>
    <w:rsid w:val="00DB3371"/>
    <w:rsid w:val="00DB5AA4"/>
    <w:rsid w:val="00DE2CA3"/>
    <w:rsid w:val="00DF053C"/>
    <w:rsid w:val="00E00BE9"/>
    <w:rsid w:val="00E1174A"/>
    <w:rsid w:val="00E17091"/>
    <w:rsid w:val="00E174C7"/>
    <w:rsid w:val="00E5639D"/>
    <w:rsid w:val="00E6347F"/>
    <w:rsid w:val="00E85845"/>
    <w:rsid w:val="00E919D3"/>
    <w:rsid w:val="00EA27DF"/>
    <w:rsid w:val="00EA4D9C"/>
    <w:rsid w:val="00EB1258"/>
    <w:rsid w:val="00EB7AC0"/>
    <w:rsid w:val="00EC1233"/>
    <w:rsid w:val="00ED0CA7"/>
    <w:rsid w:val="00ED53EF"/>
    <w:rsid w:val="00EE2F8E"/>
    <w:rsid w:val="00EE4C1D"/>
    <w:rsid w:val="00F23AA8"/>
    <w:rsid w:val="00F267DB"/>
    <w:rsid w:val="00F3129F"/>
    <w:rsid w:val="00F44780"/>
    <w:rsid w:val="00F46F6F"/>
    <w:rsid w:val="00F51387"/>
    <w:rsid w:val="00F60608"/>
    <w:rsid w:val="00F62217"/>
    <w:rsid w:val="00F73133"/>
    <w:rsid w:val="00F80EE3"/>
    <w:rsid w:val="00F8487E"/>
    <w:rsid w:val="00FA32E2"/>
    <w:rsid w:val="00FA6D5E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Wim</cp:lastModifiedBy>
  <cp:revision>6</cp:revision>
  <cp:lastPrinted>2013-08-09T06:22:00Z</cp:lastPrinted>
  <dcterms:created xsi:type="dcterms:W3CDTF">2017-04-10T13:52:00Z</dcterms:created>
  <dcterms:modified xsi:type="dcterms:W3CDTF">2017-04-23T22:53:00Z</dcterms:modified>
</cp:coreProperties>
</file>